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402AA3" w:rsidRDefault="00961145" w:rsidP="00402AA3">
      <w:pPr>
        <w:ind w:leftChars="-530" w:left="-1272" w:rightChars="77" w:right="185"/>
        <w:jc w:val="right"/>
        <w:rPr>
          <w:rFonts w:cstheme="minorHAnsi"/>
          <w:szCs w:val="24"/>
        </w:rPr>
      </w:pPr>
    </w:p>
    <w:p w:rsidR="0012336B" w:rsidRPr="00402AA3" w:rsidRDefault="0012336B" w:rsidP="00402AA3">
      <w:pPr>
        <w:ind w:leftChars="-530" w:left="-1272" w:rightChars="77" w:right="185"/>
        <w:jc w:val="right"/>
        <w:rPr>
          <w:rFonts w:cstheme="minorHAnsi"/>
          <w:b/>
          <w:szCs w:val="24"/>
        </w:rPr>
      </w:pPr>
      <w:r w:rsidRPr="00402AA3">
        <w:rPr>
          <w:rFonts w:cstheme="minorHAnsi"/>
          <w:b/>
          <w:szCs w:val="24"/>
        </w:rPr>
        <w:t>July 31, 2017</w:t>
      </w:r>
    </w:p>
    <w:p w:rsidR="006F64FF" w:rsidRPr="00402AA3" w:rsidRDefault="0012336B" w:rsidP="00402AA3">
      <w:pPr>
        <w:snapToGrid w:val="0"/>
        <w:ind w:leftChars="-530" w:left="-1272" w:rightChars="77" w:right="185"/>
        <w:rPr>
          <w:rFonts w:cstheme="minorHAnsi"/>
          <w:b/>
          <w:color w:val="002060"/>
          <w:sz w:val="32"/>
          <w:szCs w:val="32"/>
        </w:rPr>
      </w:pPr>
      <w:r w:rsidRPr="00402AA3">
        <w:rPr>
          <w:rFonts w:cstheme="minorHAnsi"/>
          <w:b/>
          <w:color w:val="002060"/>
          <w:sz w:val="32"/>
          <w:szCs w:val="32"/>
        </w:rPr>
        <w:t xml:space="preserve">Dear </w:t>
      </w:r>
      <w:r w:rsidR="00961145" w:rsidRPr="00402AA3">
        <w:rPr>
          <w:rFonts w:cstheme="minorHAnsi"/>
          <w:b/>
          <w:color w:val="002060"/>
          <w:sz w:val="32"/>
          <w:szCs w:val="32"/>
        </w:rPr>
        <w:t xml:space="preserve">Distinguished </w:t>
      </w:r>
      <w:r w:rsidR="00767E12" w:rsidRPr="00402AA3">
        <w:rPr>
          <w:rFonts w:cstheme="minorHAnsi"/>
          <w:b/>
          <w:color w:val="002060"/>
          <w:sz w:val="32"/>
          <w:szCs w:val="32"/>
        </w:rPr>
        <w:t>Presidents</w:t>
      </w:r>
      <w:r w:rsidR="006F64FF" w:rsidRPr="00402AA3">
        <w:rPr>
          <w:rFonts w:cstheme="minorHAnsi"/>
          <w:b/>
          <w:color w:val="002060"/>
          <w:sz w:val="32"/>
          <w:szCs w:val="32"/>
        </w:rPr>
        <w:t xml:space="preserve"> and Colleagues at</w:t>
      </w:r>
    </w:p>
    <w:p w:rsidR="0012336B" w:rsidRPr="00402AA3" w:rsidRDefault="006F64FF" w:rsidP="00402AA3">
      <w:pPr>
        <w:snapToGrid w:val="0"/>
        <w:ind w:leftChars="-530" w:left="-1272" w:rightChars="77" w:right="185"/>
        <w:rPr>
          <w:rFonts w:cstheme="minorHAnsi"/>
          <w:b/>
          <w:color w:val="002060"/>
          <w:sz w:val="32"/>
          <w:szCs w:val="32"/>
        </w:rPr>
      </w:pPr>
      <w:r w:rsidRPr="00402AA3">
        <w:rPr>
          <w:rFonts w:cstheme="minorHAnsi"/>
          <w:b/>
          <w:color w:val="002060"/>
          <w:sz w:val="32"/>
          <w:szCs w:val="32"/>
        </w:rPr>
        <w:t>T</w:t>
      </w:r>
      <w:r w:rsidR="00767E12" w:rsidRPr="00402AA3">
        <w:rPr>
          <w:rFonts w:cstheme="minorHAnsi"/>
          <w:b/>
          <w:color w:val="002060"/>
          <w:sz w:val="32"/>
          <w:szCs w:val="32"/>
        </w:rPr>
        <w:t xml:space="preserve">he </w:t>
      </w:r>
      <w:r w:rsidR="0012336B" w:rsidRPr="00402AA3">
        <w:rPr>
          <w:rFonts w:cstheme="minorHAnsi"/>
          <w:b/>
          <w:color w:val="002060"/>
          <w:sz w:val="32"/>
          <w:szCs w:val="32"/>
        </w:rPr>
        <w:t xml:space="preserve">Asian </w:t>
      </w:r>
      <w:r w:rsidR="00314F68" w:rsidRPr="00402AA3">
        <w:rPr>
          <w:rFonts w:cstheme="minorHAnsi"/>
          <w:b/>
          <w:color w:val="002060"/>
          <w:sz w:val="32"/>
          <w:szCs w:val="32"/>
        </w:rPr>
        <w:t xml:space="preserve">Member </w:t>
      </w:r>
      <w:r w:rsidR="00767E12" w:rsidRPr="00402AA3">
        <w:rPr>
          <w:rFonts w:cstheme="minorHAnsi"/>
          <w:b/>
          <w:color w:val="002060"/>
          <w:sz w:val="32"/>
          <w:szCs w:val="32"/>
        </w:rPr>
        <w:t>Societies of ISSMGE</w:t>
      </w:r>
      <w:r w:rsidRPr="00402AA3">
        <w:rPr>
          <w:rFonts w:cstheme="minorHAnsi"/>
          <w:b/>
          <w:color w:val="002060"/>
          <w:sz w:val="32"/>
          <w:szCs w:val="32"/>
        </w:rPr>
        <w:t>,</w:t>
      </w:r>
    </w:p>
    <w:p w:rsidR="00402AA3" w:rsidRDefault="0012336B" w:rsidP="00260330">
      <w:pPr>
        <w:spacing w:beforeLines="50" w:before="180"/>
        <w:ind w:leftChars="-530" w:left="-1272" w:rightChars="77" w:right="185"/>
        <w:jc w:val="both"/>
        <w:rPr>
          <w:rFonts w:cstheme="minorHAnsi"/>
        </w:rPr>
      </w:pPr>
      <w:r w:rsidRPr="00BE60D5">
        <w:rPr>
          <w:rFonts w:cstheme="minorHAnsi"/>
          <w:b/>
          <w:i/>
          <w:color w:val="C00000"/>
          <w:sz w:val="28"/>
          <w:szCs w:val="28"/>
        </w:rPr>
        <w:t>The Sixteenth Asian Regional Conference on Soil Mechanics and Geotechnical Engineering</w:t>
      </w:r>
      <w:r w:rsidRPr="00BE60D5">
        <w:rPr>
          <w:rFonts w:cstheme="minorHAnsi"/>
          <w:b/>
          <w:color w:val="C00000"/>
          <w:sz w:val="28"/>
          <w:szCs w:val="28"/>
        </w:rPr>
        <w:t xml:space="preserve"> (16ARC)</w:t>
      </w:r>
      <w:r w:rsidRPr="00BE60D5">
        <w:rPr>
          <w:rFonts w:cstheme="minorHAnsi"/>
          <w:color w:val="C00000"/>
        </w:rPr>
        <w:t xml:space="preserve"> </w:t>
      </w:r>
      <w:r w:rsidRPr="00402AA3">
        <w:rPr>
          <w:rFonts w:cstheme="minorHAnsi"/>
        </w:rPr>
        <w:t xml:space="preserve">is going to </w:t>
      </w:r>
      <w:r w:rsidRPr="00BE60D5">
        <w:rPr>
          <w:rFonts w:cstheme="minorHAnsi"/>
        </w:rPr>
        <w:t xml:space="preserve">be </w:t>
      </w:r>
      <w:r w:rsidRPr="00BE60D5">
        <w:rPr>
          <w:rFonts w:cstheme="minorHAnsi"/>
          <w:color w:val="000000" w:themeColor="text1"/>
          <w:sz w:val="22"/>
        </w:rPr>
        <w:t>held on</w:t>
      </w:r>
      <w:r w:rsidRPr="00BE60D5">
        <w:rPr>
          <w:rFonts w:cstheme="minorHAnsi"/>
          <w:color w:val="000000" w:themeColor="text1"/>
          <w:szCs w:val="24"/>
        </w:rPr>
        <w:t xml:space="preserve"> </w:t>
      </w:r>
      <w:r w:rsidRPr="00BE60D5">
        <w:rPr>
          <w:rFonts w:cstheme="minorHAnsi"/>
          <w:b/>
          <w:color w:val="000000" w:themeColor="text1"/>
          <w:szCs w:val="24"/>
        </w:rPr>
        <w:t>October 14~18, 2019</w:t>
      </w:r>
      <w:r w:rsidRPr="00BE60D5">
        <w:rPr>
          <w:rFonts w:cstheme="minorHAnsi"/>
          <w:color w:val="000000" w:themeColor="text1"/>
          <w:szCs w:val="24"/>
        </w:rPr>
        <w:t xml:space="preserve"> </w:t>
      </w:r>
      <w:r w:rsidRPr="00BE60D5">
        <w:rPr>
          <w:rFonts w:cstheme="minorHAnsi"/>
          <w:szCs w:val="24"/>
        </w:rPr>
        <w:t xml:space="preserve">at </w:t>
      </w:r>
      <w:r w:rsidRPr="00BE60D5">
        <w:rPr>
          <w:rFonts w:cstheme="minorHAnsi"/>
          <w:b/>
          <w:szCs w:val="24"/>
        </w:rPr>
        <w:t>Taipei International Convention Center (TICC)</w:t>
      </w:r>
      <w:r w:rsidRPr="00BE60D5">
        <w:rPr>
          <w:rFonts w:cstheme="minorHAnsi"/>
          <w:szCs w:val="24"/>
        </w:rPr>
        <w:t xml:space="preserve"> </w:t>
      </w:r>
      <w:r w:rsidRPr="00402AA3">
        <w:rPr>
          <w:rFonts w:cstheme="minorHAnsi"/>
        </w:rPr>
        <w:t xml:space="preserve">in Taipei, Taiwan. The Conf. is organized by Chinese Taipei Geotechnical Society under the auspice of ISSMGE Board. The Conf. website is </w:t>
      </w:r>
      <w:hyperlink r:id="rId8" w:history="1">
        <w:r w:rsidR="00BE60D5" w:rsidRPr="002B3A3C">
          <w:rPr>
            <w:rStyle w:val="aa"/>
            <w:rFonts w:cstheme="minorHAnsi" w:hint="eastAsia"/>
          </w:rPr>
          <w:t>www.16arc.org</w:t>
        </w:r>
      </w:hyperlink>
      <w:r w:rsidRPr="00402AA3">
        <w:rPr>
          <w:rFonts w:cstheme="minorHAnsi"/>
        </w:rPr>
        <w:t xml:space="preserve">. </w:t>
      </w:r>
    </w:p>
    <w:p w:rsidR="00BE60D5" w:rsidRDefault="0012336B" w:rsidP="008F417D">
      <w:pPr>
        <w:spacing w:beforeLines="50" w:before="180"/>
        <w:ind w:leftChars="-530" w:left="-1272" w:rightChars="77" w:right="185"/>
        <w:jc w:val="both"/>
        <w:rPr>
          <w:rFonts w:cstheme="minorHAnsi"/>
        </w:rPr>
      </w:pPr>
      <w:r w:rsidRPr="00402AA3">
        <w:rPr>
          <w:rFonts w:cstheme="minorHAnsi"/>
        </w:rPr>
        <w:t>The theme of 16ARC is “</w:t>
      </w:r>
      <w:proofErr w:type="spellStart"/>
      <w:r w:rsidRPr="00BE60D5">
        <w:rPr>
          <w:rFonts w:cstheme="minorHAnsi"/>
          <w:b/>
          <w:i/>
          <w:color w:val="000000" w:themeColor="text1"/>
        </w:rPr>
        <w:t>Geotechnique</w:t>
      </w:r>
      <w:proofErr w:type="spellEnd"/>
      <w:r w:rsidRPr="00BE60D5">
        <w:rPr>
          <w:rFonts w:cstheme="minorHAnsi"/>
          <w:b/>
          <w:i/>
          <w:color w:val="000000" w:themeColor="text1"/>
        </w:rPr>
        <w:t xml:space="preserve"> for Sustainable Development and Emerging Market Regions</w:t>
      </w:r>
      <w:r w:rsidRPr="001339AA">
        <w:rPr>
          <w:rFonts w:cstheme="minorHAnsi"/>
        </w:rPr>
        <w:t>”. It will cover a wide spectrum of following subjects,</w:t>
      </w:r>
    </w:p>
    <w:tbl>
      <w:tblPr>
        <w:tblStyle w:val="a9"/>
        <w:tblW w:w="1087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640"/>
      </w:tblGrid>
      <w:tr w:rsidR="00073E00" w:rsidRPr="009557C8" w:rsidTr="00073E00">
        <w:tc>
          <w:tcPr>
            <w:tcW w:w="6238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8" w:rightChars="77" w:right="185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Soil properties and ground characterization – SF01</w:t>
            </w:r>
          </w:p>
        </w:tc>
        <w:tc>
          <w:tcPr>
            <w:tcW w:w="4640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7" w:rightChars="77" w:right="185" w:hanging="305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Ground improvement – SA10</w:t>
            </w:r>
          </w:p>
        </w:tc>
      </w:tr>
      <w:tr w:rsidR="00073E00" w:rsidRPr="009557C8" w:rsidTr="00073E00">
        <w:tc>
          <w:tcPr>
            <w:tcW w:w="6238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8" w:rightChars="77" w:right="185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Engineering geology and rock mechanics – SF02</w:t>
            </w:r>
          </w:p>
        </w:tc>
        <w:tc>
          <w:tcPr>
            <w:tcW w:w="4640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7" w:rightChars="77" w:right="185" w:hanging="305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9557C8">
              <w:rPr>
                <w:rFonts w:cstheme="minorHAnsi"/>
                <w:b/>
                <w:bCs/>
                <w:sz w:val="22"/>
                <w:szCs w:val="22"/>
              </w:rPr>
              <w:t>Geoenvironmental</w:t>
            </w:r>
            <w:proofErr w:type="spellEnd"/>
            <w:r w:rsidRPr="009557C8">
              <w:rPr>
                <w:rFonts w:cstheme="minorHAnsi"/>
                <w:b/>
                <w:bCs/>
                <w:sz w:val="22"/>
                <w:szCs w:val="22"/>
              </w:rPr>
              <w:t xml:space="preserve"> engineering – SA11</w:t>
            </w:r>
          </w:p>
        </w:tc>
      </w:tr>
      <w:tr w:rsidR="00073E00" w:rsidRPr="009557C8" w:rsidTr="00073E00">
        <w:tc>
          <w:tcPr>
            <w:tcW w:w="6238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8" w:rightChars="77" w:right="185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Dam, levee, and embankment – SA03</w:t>
            </w:r>
          </w:p>
        </w:tc>
        <w:tc>
          <w:tcPr>
            <w:tcW w:w="4640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7" w:rightChars="77" w:right="185" w:hanging="305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Offshore geotechnics – SA12</w:t>
            </w:r>
          </w:p>
        </w:tc>
      </w:tr>
      <w:tr w:rsidR="00073E00" w:rsidRPr="009557C8" w:rsidTr="00073E00">
        <w:tc>
          <w:tcPr>
            <w:tcW w:w="6238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8" w:rightChars="77" w:right="185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Slopes and debris flow – SA04</w:t>
            </w:r>
          </w:p>
        </w:tc>
        <w:tc>
          <w:tcPr>
            <w:tcW w:w="4640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7" w:rightChars="77" w:right="185" w:hanging="305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Forensic geotechnical engineering – SI13</w:t>
            </w:r>
          </w:p>
        </w:tc>
      </w:tr>
      <w:tr w:rsidR="00073E00" w:rsidRPr="009557C8" w:rsidTr="00073E00">
        <w:tc>
          <w:tcPr>
            <w:tcW w:w="6238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tabs>
                <w:tab w:val="left" w:pos="5704"/>
              </w:tabs>
              <w:ind w:leftChars="0" w:left="318" w:rightChars="77" w:right="185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 xml:space="preserve">Soil dynamics and geotechnical earthquake </w:t>
            </w:r>
            <w:r w:rsidR="001339AA" w:rsidRPr="009557C8">
              <w:rPr>
                <w:rFonts w:cstheme="minorHAnsi" w:hint="eastAsia"/>
                <w:b/>
                <w:bCs/>
                <w:sz w:val="22"/>
                <w:szCs w:val="22"/>
              </w:rPr>
              <w:t>e</w:t>
            </w:r>
            <w:r w:rsidRPr="009557C8">
              <w:rPr>
                <w:rFonts w:cstheme="minorHAnsi"/>
                <w:b/>
                <w:bCs/>
                <w:sz w:val="22"/>
                <w:szCs w:val="22"/>
              </w:rPr>
              <w:t>ngineering – SFA05</w:t>
            </w:r>
          </w:p>
        </w:tc>
        <w:tc>
          <w:tcPr>
            <w:tcW w:w="4640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7" w:rightChars="77" w:right="185" w:hanging="305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Geotechnical risk and reliability – SI14</w:t>
            </w:r>
          </w:p>
        </w:tc>
      </w:tr>
      <w:tr w:rsidR="00073E00" w:rsidRPr="009557C8" w:rsidTr="00073E00">
        <w:tc>
          <w:tcPr>
            <w:tcW w:w="6238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8" w:rightChars="77" w:right="185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Underground space and deep excavation – SA06</w:t>
            </w:r>
          </w:p>
        </w:tc>
        <w:tc>
          <w:tcPr>
            <w:tcW w:w="4640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7" w:rightChars="77" w:right="185" w:hanging="305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Energy geotechnics - SI15</w:t>
            </w:r>
          </w:p>
        </w:tc>
      </w:tr>
      <w:tr w:rsidR="00073E00" w:rsidRPr="009557C8" w:rsidTr="00073E00">
        <w:tc>
          <w:tcPr>
            <w:tcW w:w="6238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8" w:rightChars="77" w:right="185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Tunneling – SA07</w:t>
            </w:r>
          </w:p>
        </w:tc>
        <w:tc>
          <w:tcPr>
            <w:tcW w:w="4640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7" w:rightChars="77" w:right="185" w:hanging="305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Geo-education – SI16</w:t>
            </w:r>
          </w:p>
        </w:tc>
      </w:tr>
      <w:tr w:rsidR="00073E00" w:rsidRPr="009557C8" w:rsidTr="00073E00">
        <w:tc>
          <w:tcPr>
            <w:tcW w:w="6238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8" w:rightChars="77" w:right="185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Foundations – SA08</w:t>
            </w:r>
          </w:p>
        </w:tc>
        <w:tc>
          <w:tcPr>
            <w:tcW w:w="4640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7" w:rightChars="77" w:right="185" w:hanging="305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Case history – SI17</w:t>
            </w:r>
          </w:p>
        </w:tc>
      </w:tr>
      <w:tr w:rsidR="00402AA3" w:rsidRPr="009557C8" w:rsidTr="00073E00">
        <w:tc>
          <w:tcPr>
            <w:tcW w:w="6238" w:type="dxa"/>
          </w:tcPr>
          <w:p w:rsidR="00402AA3" w:rsidRPr="009557C8" w:rsidRDefault="00402AA3" w:rsidP="00073E00">
            <w:pPr>
              <w:pStyle w:val="ab"/>
              <w:numPr>
                <w:ilvl w:val="0"/>
                <w:numId w:val="7"/>
              </w:numPr>
              <w:ind w:leftChars="0" w:left="318" w:rightChars="77" w:right="185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557C8">
              <w:rPr>
                <w:rFonts w:cstheme="minorHAnsi"/>
                <w:b/>
                <w:bCs/>
                <w:sz w:val="22"/>
                <w:szCs w:val="22"/>
              </w:rPr>
              <w:t>Geosynthetics – SA09</w:t>
            </w:r>
          </w:p>
        </w:tc>
        <w:tc>
          <w:tcPr>
            <w:tcW w:w="4640" w:type="dxa"/>
          </w:tcPr>
          <w:p w:rsidR="00402AA3" w:rsidRPr="009557C8" w:rsidRDefault="00402AA3" w:rsidP="00073E00">
            <w:pPr>
              <w:ind w:rightChars="77" w:right="185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:rsidR="0012336B" w:rsidRPr="00402AA3" w:rsidRDefault="0012336B" w:rsidP="009557C8">
      <w:pPr>
        <w:spacing w:beforeLines="50" w:before="180"/>
        <w:ind w:leftChars="-531" w:left="-1274" w:rightChars="77" w:right="185"/>
        <w:jc w:val="both"/>
        <w:rPr>
          <w:rFonts w:cstheme="minorHAnsi"/>
        </w:rPr>
      </w:pPr>
      <w:r w:rsidRPr="00402AA3">
        <w:rPr>
          <w:rFonts w:cstheme="minorHAnsi"/>
        </w:rPr>
        <w:t>We are now very pleased to announce the</w:t>
      </w:r>
      <w:r w:rsidRPr="00FF484D">
        <w:rPr>
          <w:rFonts w:cstheme="minorHAnsi"/>
          <w:color w:val="000000" w:themeColor="text1"/>
        </w:rPr>
        <w:t xml:space="preserve"> </w:t>
      </w:r>
      <w:r w:rsidRPr="00FF484D">
        <w:rPr>
          <w:rFonts w:cstheme="minorHAnsi"/>
          <w:b/>
          <w:color w:val="000000" w:themeColor="text1"/>
        </w:rPr>
        <w:t>Important Dates</w:t>
      </w:r>
      <w:r w:rsidRPr="00FF484D">
        <w:rPr>
          <w:rFonts w:cstheme="minorHAnsi"/>
          <w:color w:val="000000" w:themeColor="text1"/>
        </w:rPr>
        <w:t xml:space="preserve"> </w:t>
      </w:r>
      <w:r w:rsidRPr="00402AA3">
        <w:rPr>
          <w:rFonts w:cstheme="minorHAnsi"/>
        </w:rPr>
        <w:t xml:space="preserve">for paper collections at this Conference. The estimated number of papers to be presented at 16ARC (both oral and poster) is 500+. Ten 1.5-hour time slots for five parallel sessions are planned to accommodate </w:t>
      </w:r>
      <w:r w:rsidR="00641C85" w:rsidRPr="00402AA3">
        <w:rPr>
          <w:rFonts w:cstheme="minorHAnsi"/>
        </w:rPr>
        <w:t xml:space="preserve">the </w:t>
      </w:r>
      <w:r w:rsidRPr="00402AA3">
        <w:rPr>
          <w:rFonts w:cstheme="minorHAnsi"/>
        </w:rPr>
        <w:t>oral presentation papers.</w:t>
      </w:r>
      <w:r w:rsidR="00641C85" w:rsidRPr="00402AA3">
        <w:rPr>
          <w:rFonts w:cstheme="minorHAnsi"/>
        </w:rPr>
        <w:t xml:space="preserve"> </w:t>
      </w:r>
      <w:r w:rsidR="00641C85" w:rsidRPr="008F417D">
        <w:rPr>
          <w:rFonts w:cstheme="minorHAnsi"/>
          <w:color w:val="0000FF"/>
        </w:rPr>
        <w:t xml:space="preserve">The paper quota of each Asian member society is allocated based on </w:t>
      </w:r>
      <w:r w:rsidR="00C76FA2" w:rsidRPr="008F417D">
        <w:rPr>
          <w:rFonts w:cstheme="minorHAnsi"/>
          <w:color w:val="0000FF"/>
        </w:rPr>
        <w:t>t</w:t>
      </w:r>
      <w:r w:rsidR="009528EA" w:rsidRPr="008F417D">
        <w:rPr>
          <w:rFonts w:cstheme="minorHAnsi"/>
          <w:color w:val="0000FF"/>
        </w:rPr>
        <w:t xml:space="preserve">he </w:t>
      </w:r>
      <w:r w:rsidR="00641C85" w:rsidRPr="008F417D">
        <w:rPr>
          <w:rFonts w:cstheme="minorHAnsi"/>
          <w:color w:val="0000FF"/>
        </w:rPr>
        <w:t>number of ISSMGE members</w:t>
      </w:r>
      <w:r w:rsidR="00767E12" w:rsidRPr="008F417D">
        <w:rPr>
          <w:rFonts w:cstheme="minorHAnsi"/>
          <w:color w:val="0000FF"/>
        </w:rPr>
        <w:t xml:space="preserve"> and the data </w:t>
      </w:r>
      <w:r w:rsidR="009528EA" w:rsidRPr="008F417D">
        <w:rPr>
          <w:rFonts w:cstheme="minorHAnsi"/>
          <w:color w:val="0000FF"/>
        </w:rPr>
        <w:t>of</w:t>
      </w:r>
      <w:r w:rsidR="00767E12" w:rsidRPr="008F417D">
        <w:rPr>
          <w:rFonts w:cstheme="minorHAnsi"/>
          <w:color w:val="0000FF"/>
        </w:rPr>
        <w:t xml:space="preserve"> previous conferences</w:t>
      </w:r>
      <w:r w:rsidR="00767E12" w:rsidRPr="00A94F02">
        <w:rPr>
          <w:rFonts w:cstheme="minorHAnsi"/>
          <w:color w:val="0000FF"/>
        </w:rPr>
        <w:t>.</w:t>
      </w:r>
      <w:r w:rsidR="00767E12" w:rsidRPr="00402AA3">
        <w:rPr>
          <w:rFonts w:cstheme="minorHAnsi"/>
        </w:rPr>
        <w:t xml:space="preserve"> Please kindly follow </w:t>
      </w:r>
      <w:r w:rsidR="00501C7F">
        <w:rPr>
          <w:rFonts w:cstheme="minorHAnsi"/>
        </w:rPr>
        <w:t>the designated number of papers</w:t>
      </w:r>
      <w:r w:rsidR="00501C7F">
        <w:rPr>
          <w:rFonts w:cstheme="minorHAnsi" w:hint="eastAsia"/>
        </w:rPr>
        <w:t xml:space="preserve"> </w:t>
      </w:r>
      <w:r w:rsidR="00767E12" w:rsidRPr="00402AA3">
        <w:rPr>
          <w:rFonts w:cstheme="minorHAnsi"/>
        </w:rPr>
        <w:t>to disseminate the messages to your ISSMGE members.</w:t>
      </w:r>
      <w:r w:rsidR="00501C7F">
        <w:rPr>
          <w:rFonts w:cstheme="minorHAnsi" w:hint="eastAsia"/>
        </w:rPr>
        <w:t xml:space="preserve"> </w:t>
      </w:r>
      <w:r w:rsidR="00501C7F" w:rsidRPr="008F417D">
        <w:rPr>
          <w:rFonts w:cstheme="minorHAnsi" w:hint="eastAsia"/>
          <w:color w:val="0000FF"/>
        </w:rPr>
        <w:t xml:space="preserve">If the number of your collected papers exceeds the paper quota, please contact the organizer for possible reallocations </w:t>
      </w:r>
      <w:r w:rsidR="00A94F02" w:rsidRPr="008F417D">
        <w:rPr>
          <w:rFonts w:cstheme="minorHAnsi" w:hint="eastAsia"/>
          <w:color w:val="0000FF"/>
        </w:rPr>
        <w:t xml:space="preserve">while </w:t>
      </w:r>
      <w:r w:rsidR="00A94F02" w:rsidRPr="008F417D">
        <w:rPr>
          <w:rFonts w:cstheme="minorHAnsi"/>
          <w:color w:val="0000FF"/>
        </w:rPr>
        <w:t>submitting</w:t>
      </w:r>
      <w:r w:rsidR="00A94F02" w:rsidRPr="008F417D">
        <w:rPr>
          <w:rFonts w:cstheme="minorHAnsi" w:hint="eastAsia"/>
          <w:color w:val="0000FF"/>
        </w:rPr>
        <w:t xml:space="preserve"> </w:t>
      </w:r>
      <w:r w:rsidR="009557C8">
        <w:rPr>
          <w:rFonts w:cstheme="minorHAnsi" w:hint="eastAsia"/>
          <w:color w:val="0000FF"/>
        </w:rPr>
        <w:t>the full-</w:t>
      </w:r>
      <w:r w:rsidR="00501C7F" w:rsidRPr="008F417D">
        <w:rPr>
          <w:rFonts w:cstheme="minorHAnsi" w:hint="eastAsia"/>
          <w:color w:val="0000FF"/>
        </w:rPr>
        <w:t xml:space="preserve">papers in a </w:t>
      </w:r>
      <w:r w:rsidR="00501C7F" w:rsidRPr="008F417D">
        <w:rPr>
          <w:rFonts w:cstheme="minorHAnsi"/>
          <w:color w:val="0000FF"/>
        </w:rPr>
        <w:t>preferable</w:t>
      </w:r>
      <w:r w:rsidR="00501C7F" w:rsidRPr="008F417D">
        <w:rPr>
          <w:rFonts w:cstheme="minorHAnsi" w:hint="eastAsia"/>
          <w:color w:val="0000FF"/>
        </w:rPr>
        <w:t xml:space="preserve"> order.</w:t>
      </w:r>
    </w:p>
    <w:p w:rsidR="0012336B" w:rsidRPr="005937BA" w:rsidRDefault="008F417D" w:rsidP="009557C8">
      <w:pPr>
        <w:spacing w:beforeLines="50" w:before="180"/>
        <w:ind w:leftChars="-530" w:left="-1272" w:rightChars="77" w:right="185"/>
        <w:jc w:val="both"/>
        <w:rPr>
          <w:rFonts w:cstheme="minorHAnsi"/>
        </w:rPr>
      </w:pPr>
      <w:r w:rsidRPr="00402AA3">
        <w:rPr>
          <w:rFonts w:cstheme="minorHAnsi"/>
        </w:rPr>
        <w:t xml:space="preserve">We sincerely hope that 16ARC will provide a good platform for scholars and practitioners to share and exchange the updated knowledge on </w:t>
      </w:r>
      <w:proofErr w:type="spellStart"/>
      <w:r w:rsidRPr="00402AA3">
        <w:rPr>
          <w:rFonts w:cstheme="minorHAnsi"/>
        </w:rPr>
        <w:t>Geotechnique</w:t>
      </w:r>
      <w:proofErr w:type="spellEnd"/>
      <w:r w:rsidRPr="00402AA3">
        <w:rPr>
          <w:rFonts w:cstheme="minorHAnsi"/>
          <w:b/>
          <w:bCs/>
        </w:rPr>
        <w:t>.</w:t>
      </w:r>
      <w:r w:rsidRPr="00402AA3">
        <w:rPr>
          <w:rFonts w:cstheme="minorHAnsi"/>
        </w:rPr>
        <w:t xml:space="preserve"> </w:t>
      </w:r>
      <w:r w:rsidRPr="00402AA3">
        <w:rPr>
          <w:rFonts w:cstheme="minorHAnsi"/>
          <w:color w:val="000000"/>
        </w:rPr>
        <w:t>The great energies and opportunities provided at the emerging markets and sustainable developments in Asian countries will receive worldwide attentions.</w:t>
      </w:r>
      <w:r w:rsidRPr="00402AA3">
        <w:rPr>
          <w:rFonts w:cstheme="minorHAnsi"/>
        </w:rPr>
        <w:t xml:space="preserve"> Please do not hesitate to contact us should you have any query or in need of further information. We cordially welcome you and thank for your kind supports</w:t>
      </w:r>
      <w:r w:rsidR="009557C8">
        <w:rPr>
          <w:rFonts w:cstheme="minorHAnsi"/>
        </w:rPr>
        <w:t xml:space="preserve"> to make 16</w:t>
      </w:r>
      <w:r w:rsidRPr="00402AA3">
        <w:rPr>
          <w:rFonts w:cstheme="minorHAnsi"/>
        </w:rPr>
        <w:t>ARC successful to continue the Glories of ARCs!</w:t>
      </w:r>
    </w:p>
    <w:p w:rsidR="0012336B" w:rsidRPr="00825CD2" w:rsidRDefault="00134236" w:rsidP="004A7D39">
      <w:pPr>
        <w:spacing w:beforeLines="50" w:before="180"/>
        <w:ind w:leftChars="-530" w:left="-1272" w:rightChars="77" w:right="185"/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lastRenderedPageBreak/>
        <w:t>IMPORTANT</w:t>
      </w:r>
      <w:bookmarkStart w:id="0" w:name="_GoBack"/>
      <w:bookmarkEnd w:id="0"/>
      <w:r w:rsidR="0012336B" w:rsidRPr="00825CD2">
        <w:rPr>
          <w:rFonts w:cstheme="minorHAnsi"/>
          <w:b/>
          <w:color w:val="FF0000"/>
          <w:sz w:val="32"/>
          <w:szCs w:val="32"/>
        </w:rPr>
        <w:t xml:space="preserve"> DATES of 16ARC</w:t>
      </w:r>
    </w:p>
    <w:p w:rsidR="0012336B" w:rsidRPr="00FF484D" w:rsidRDefault="0012336B" w:rsidP="00073E00">
      <w:pPr>
        <w:ind w:leftChars="-530" w:left="-1272" w:rightChars="77" w:right="185"/>
        <w:jc w:val="both"/>
        <w:rPr>
          <w:rFonts w:cstheme="minorHAnsi"/>
          <w:color w:val="00467A"/>
          <w:sz w:val="28"/>
          <w:szCs w:val="28"/>
        </w:rPr>
      </w:pPr>
      <w:r w:rsidRPr="00FF484D">
        <w:rPr>
          <w:rFonts w:cstheme="minorHAnsi"/>
          <w:b/>
          <w:bCs/>
          <w:color w:val="00467A"/>
          <w:sz w:val="28"/>
          <w:szCs w:val="28"/>
        </w:rPr>
        <w:t>Call-for-Paper – 2017.08.01</w:t>
      </w:r>
    </w:p>
    <w:p w:rsidR="0012336B" w:rsidRPr="00402AA3" w:rsidRDefault="0012336B" w:rsidP="00073E00">
      <w:pPr>
        <w:ind w:leftChars="-530" w:left="-1272" w:rightChars="77" w:right="185"/>
        <w:jc w:val="both"/>
        <w:rPr>
          <w:rFonts w:cstheme="minorHAnsi"/>
        </w:rPr>
      </w:pPr>
      <w:r w:rsidRPr="00402AA3">
        <w:rPr>
          <w:rFonts w:cstheme="minorHAnsi"/>
        </w:rPr>
        <w:t xml:space="preserve">Invitation letters sent to Asian </w:t>
      </w:r>
      <w:r w:rsidR="00C76FA2" w:rsidRPr="00402AA3">
        <w:rPr>
          <w:rFonts w:cstheme="minorHAnsi"/>
        </w:rPr>
        <w:t>m</w:t>
      </w:r>
      <w:r w:rsidRPr="00402AA3">
        <w:rPr>
          <w:rFonts w:cstheme="minorHAnsi"/>
        </w:rPr>
        <w:t xml:space="preserve">ember </w:t>
      </w:r>
      <w:r w:rsidR="00C76FA2" w:rsidRPr="00402AA3">
        <w:rPr>
          <w:rFonts w:cstheme="minorHAnsi"/>
        </w:rPr>
        <w:t>s</w:t>
      </w:r>
      <w:r w:rsidRPr="00402AA3">
        <w:rPr>
          <w:rFonts w:cstheme="minorHAnsi"/>
        </w:rPr>
        <w:t>ocieties/</w:t>
      </w:r>
      <w:r w:rsidR="00C76FA2" w:rsidRPr="00402AA3">
        <w:rPr>
          <w:rFonts w:cstheme="minorHAnsi"/>
        </w:rPr>
        <w:t xml:space="preserve"> m</w:t>
      </w:r>
      <w:r w:rsidRPr="00402AA3">
        <w:rPr>
          <w:rFonts w:cstheme="minorHAnsi"/>
        </w:rPr>
        <w:t xml:space="preserve">ember societies at other </w:t>
      </w:r>
      <w:r w:rsidR="00C76FA2" w:rsidRPr="00402AA3">
        <w:rPr>
          <w:rFonts w:cstheme="minorHAnsi"/>
        </w:rPr>
        <w:t>r</w:t>
      </w:r>
      <w:r w:rsidRPr="00402AA3">
        <w:rPr>
          <w:rFonts w:cstheme="minorHAnsi"/>
        </w:rPr>
        <w:t xml:space="preserve">egions as </w:t>
      </w:r>
      <w:r w:rsidR="00C76FA2" w:rsidRPr="00402AA3">
        <w:rPr>
          <w:rFonts w:cstheme="minorHAnsi"/>
        </w:rPr>
        <w:t xml:space="preserve">well as TC&amp;ATCs through </w:t>
      </w:r>
      <w:r w:rsidR="004453DA" w:rsidRPr="00402AA3">
        <w:rPr>
          <w:rFonts w:cstheme="minorHAnsi"/>
        </w:rPr>
        <w:t>ISSMGE office</w:t>
      </w:r>
      <w:r w:rsidR="004453DA">
        <w:rPr>
          <w:rFonts w:cstheme="minorHAnsi" w:hint="eastAsia"/>
        </w:rPr>
        <w:t xml:space="preserve"> and </w:t>
      </w:r>
      <w:r w:rsidR="008F417D">
        <w:rPr>
          <w:rFonts w:cstheme="minorHAnsi" w:hint="eastAsia"/>
        </w:rPr>
        <w:t>the organizer</w:t>
      </w:r>
      <w:r w:rsidRPr="00402AA3">
        <w:rPr>
          <w:rFonts w:cstheme="minorHAnsi"/>
        </w:rPr>
        <w:t>.</w:t>
      </w:r>
    </w:p>
    <w:p w:rsidR="0012336B" w:rsidRPr="00FF484D" w:rsidRDefault="0012336B" w:rsidP="00073E00">
      <w:pPr>
        <w:spacing w:beforeLines="50" w:before="180"/>
        <w:ind w:leftChars="-530" w:left="-1272" w:rightChars="77" w:right="185"/>
        <w:jc w:val="both"/>
        <w:rPr>
          <w:rFonts w:cstheme="minorHAnsi"/>
          <w:b/>
          <w:bCs/>
          <w:color w:val="00467A"/>
          <w:sz w:val="28"/>
          <w:szCs w:val="28"/>
        </w:rPr>
      </w:pPr>
      <w:r w:rsidRPr="00FF484D">
        <w:rPr>
          <w:rFonts w:cstheme="minorHAnsi"/>
          <w:b/>
          <w:bCs/>
          <w:color w:val="00467A"/>
          <w:sz w:val="28"/>
          <w:szCs w:val="28"/>
        </w:rPr>
        <w:t xml:space="preserve">Abstract Due Date – </w:t>
      </w:r>
      <w:r w:rsidRPr="00FF484D">
        <w:rPr>
          <w:rFonts w:cstheme="minorHAnsi"/>
          <w:b/>
          <w:bCs/>
          <w:color w:val="C00000"/>
          <w:sz w:val="28"/>
          <w:szCs w:val="28"/>
        </w:rPr>
        <w:t>2018.03.31</w:t>
      </w:r>
    </w:p>
    <w:p w:rsidR="0012336B" w:rsidRPr="004A7D39" w:rsidRDefault="0012336B" w:rsidP="004A7D39">
      <w:pPr>
        <w:ind w:left="-1276" w:rightChars="77" w:right="185"/>
        <w:jc w:val="both"/>
        <w:rPr>
          <w:rFonts w:cstheme="minorHAnsi"/>
          <w:color w:val="000000" w:themeColor="text1"/>
        </w:rPr>
      </w:pPr>
      <w:r w:rsidRPr="004A7D39">
        <w:rPr>
          <w:rFonts w:cstheme="minorHAnsi"/>
          <w:color w:val="0000FF"/>
        </w:rPr>
        <w:t xml:space="preserve">For abstracts from Asian societies, </w:t>
      </w:r>
      <w:r w:rsidR="00C76FA2" w:rsidRPr="004A7D39">
        <w:rPr>
          <w:rFonts w:cstheme="minorHAnsi"/>
          <w:color w:val="0000FF"/>
        </w:rPr>
        <w:t>e</w:t>
      </w:r>
      <w:r w:rsidRPr="004A7D39">
        <w:rPr>
          <w:rFonts w:cstheme="minorHAnsi"/>
          <w:color w:val="0000FF"/>
        </w:rPr>
        <w:t xml:space="preserve">ach Society please </w:t>
      </w:r>
      <w:r w:rsidR="00FF484D" w:rsidRPr="004A7D39">
        <w:rPr>
          <w:rFonts w:cstheme="minorHAnsi"/>
          <w:color w:val="0000FF"/>
        </w:rPr>
        <w:t>provides</w:t>
      </w:r>
      <w:r w:rsidRPr="004A7D39">
        <w:rPr>
          <w:rFonts w:cstheme="minorHAnsi"/>
          <w:color w:val="0000FF"/>
        </w:rPr>
        <w:t xml:space="preserve"> the list of abstracts and the abstracts to the organizer on the due course</w:t>
      </w:r>
      <w:r w:rsidRPr="004A7D39">
        <w:rPr>
          <w:rFonts w:cstheme="minorHAnsi"/>
          <w:color w:val="000000" w:themeColor="text1"/>
        </w:rPr>
        <w:t xml:space="preserve">. </w:t>
      </w:r>
      <w:r w:rsidR="008F417D" w:rsidRPr="004A7D39">
        <w:rPr>
          <w:rFonts w:cstheme="minorHAnsi" w:hint="eastAsia"/>
          <w:color w:val="000000" w:themeColor="text1"/>
        </w:rPr>
        <w:t xml:space="preserve"> </w:t>
      </w:r>
      <w:r w:rsidRPr="004A7D39">
        <w:rPr>
          <w:rFonts w:cstheme="minorHAnsi"/>
          <w:color w:val="000000" w:themeColor="text1"/>
        </w:rPr>
        <w:t xml:space="preserve">ABSTRACT template is attached as </w:t>
      </w:r>
      <w:r w:rsidRPr="004A7D39">
        <w:rPr>
          <w:rFonts w:cstheme="minorHAnsi"/>
          <w:color w:val="0000FF"/>
        </w:rPr>
        <w:t>16ARCabstract.doc</w:t>
      </w:r>
      <w:r w:rsidRPr="004A7D39">
        <w:rPr>
          <w:rFonts w:cstheme="minorHAnsi"/>
          <w:color w:val="000000" w:themeColor="text1"/>
        </w:rPr>
        <w:t>.</w:t>
      </w:r>
    </w:p>
    <w:p w:rsidR="0012336B" w:rsidRPr="00FF484D" w:rsidRDefault="0012336B" w:rsidP="00073E00">
      <w:pPr>
        <w:spacing w:beforeLines="50" w:before="180"/>
        <w:ind w:leftChars="-530" w:left="-1272" w:rightChars="77" w:right="185"/>
        <w:jc w:val="both"/>
        <w:rPr>
          <w:rFonts w:cstheme="minorHAnsi"/>
          <w:color w:val="00467A"/>
          <w:sz w:val="28"/>
          <w:szCs w:val="28"/>
        </w:rPr>
      </w:pPr>
      <w:r w:rsidRPr="00FF484D">
        <w:rPr>
          <w:rFonts w:cstheme="minorHAnsi"/>
          <w:b/>
          <w:bCs/>
          <w:color w:val="00467A"/>
          <w:sz w:val="28"/>
          <w:szCs w:val="28"/>
        </w:rPr>
        <w:t>Abstract Acceptance – 2018.06.30</w:t>
      </w:r>
    </w:p>
    <w:p w:rsidR="0012336B" w:rsidRPr="00402AA3" w:rsidRDefault="0012336B" w:rsidP="00073E00">
      <w:pPr>
        <w:ind w:leftChars="-530" w:left="-1272" w:rightChars="77" w:right="185"/>
        <w:jc w:val="both"/>
        <w:rPr>
          <w:rFonts w:cstheme="minorHAnsi"/>
        </w:rPr>
      </w:pPr>
      <w:r w:rsidRPr="00402AA3">
        <w:rPr>
          <w:rFonts w:cstheme="minorHAnsi"/>
        </w:rPr>
        <w:t xml:space="preserve">Notice for acceptance of the abstracts will be announced by 16ARC organizer to Asian </w:t>
      </w:r>
      <w:r w:rsidR="00C76FA2" w:rsidRPr="00402AA3">
        <w:rPr>
          <w:rFonts w:cstheme="minorHAnsi"/>
        </w:rPr>
        <w:t>s</w:t>
      </w:r>
      <w:r w:rsidRPr="00402AA3">
        <w:rPr>
          <w:rFonts w:cstheme="minorHAnsi"/>
        </w:rPr>
        <w:t>ocieties/</w:t>
      </w:r>
      <w:r w:rsidR="00C76FA2" w:rsidRPr="00402AA3">
        <w:rPr>
          <w:rFonts w:cstheme="minorHAnsi"/>
        </w:rPr>
        <w:t>i</w:t>
      </w:r>
      <w:r w:rsidRPr="00402AA3">
        <w:rPr>
          <w:rFonts w:cstheme="minorHAnsi"/>
        </w:rPr>
        <w:t>ndividuals at other regions/TC&amp;ATCs</w:t>
      </w:r>
    </w:p>
    <w:p w:rsidR="0012336B" w:rsidRPr="00FF484D" w:rsidRDefault="0012336B" w:rsidP="00073E00">
      <w:pPr>
        <w:spacing w:beforeLines="50" w:before="180"/>
        <w:ind w:leftChars="-530" w:left="-1272" w:rightChars="77" w:right="185"/>
        <w:jc w:val="both"/>
        <w:rPr>
          <w:rFonts w:cstheme="minorHAnsi"/>
          <w:color w:val="00467A"/>
          <w:sz w:val="28"/>
          <w:szCs w:val="28"/>
        </w:rPr>
      </w:pPr>
      <w:r w:rsidRPr="00FF484D">
        <w:rPr>
          <w:rFonts w:cstheme="minorHAnsi"/>
          <w:b/>
          <w:bCs/>
          <w:color w:val="00467A"/>
          <w:sz w:val="28"/>
          <w:szCs w:val="28"/>
        </w:rPr>
        <w:t xml:space="preserve">Full-Paper Collections – </w:t>
      </w:r>
      <w:r w:rsidRPr="004D7E82">
        <w:rPr>
          <w:rFonts w:cstheme="minorHAnsi"/>
          <w:b/>
          <w:bCs/>
          <w:color w:val="C00000"/>
          <w:sz w:val="28"/>
          <w:szCs w:val="28"/>
        </w:rPr>
        <w:t>2018.09.30</w:t>
      </w:r>
    </w:p>
    <w:p w:rsidR="0012336B" w:rsidRPr="004A7D39" w:rsidRDefault="0012336B" w:rsidP="004A7D39">
      <w:pPr>
        <w:ind w:left="-1272" w:rightChars="77" w:right="185"/>
        <w:jc w:val="both"/>
        <w:rPr>
          <w:rFonts w:cstheme="minorHAnsi"/>
        </w:rPr>
      </w:pPr>
      <w:r w:rsidRPr="004A7D39">
        <w:rPr>
          <w:rFonts w:cstheme="minorHAnsi"/>
          <w:color w:val="0000FF"/>
        </w:rPr>
        <w:t xml:space="preserve">For Asian societies, all the papers need to be collected and submitted through </w:t>
      </w:r>
      <w:r w:rsidR="00C76FA2" w:rsidRPr="004A7D39">
        <w:rPr>
          <w:rFonts w:cstheme="minorHAnsi"/>
          <w:color w:val="0000FF"/>
        </w:rPr>
        <w:t>s</w:t>
      </w:r>
      <w:r w:rsidRPr="004A7D39">
        <w:rPr>
          <w:rFonts w:cstheme="minorHAnsi"/>
          <w:color w:val="0000FF"/>
        </w:rPr>
        <w:t xml:space="preserve">ociety </w:t>
      </w:r>
      <w:r w:rsidR="00C76FA2" w:rsidRPr="004A7D39">
        <w:rPr>
          <w:rFonts w:cstheme="minorHAnsi"/>
          <w:color w:val="0000FF"/>
        </w:rPr>
        <w:t>o</w:t>
      </w:r>
      <w:r w:rsidRPr="004A7D39">
        <w:rPr>
          <w:rFonts w:cstheme="minorHAnsi"/>
          <w:color w:val="0000FF"/>
        </w:rPr>
        <w:t>ffice</w:t>
      </w:r>
      <w:r w:rsidRPr="004A7D39">
        <w:rPr>
          <w:rFonts w:cstheme="minorHAnsi"/>
          <w:b/>
        </w:rPr>
        <w:t>.</w:t>
      </w:r>
      <w:r w:rsidRPr="004A7D39">
        <w:rPr>
          <w:rFonts w:cstheme="minorHAnsi"/>
          <w:color w:val="0000FF"/>
        </w:rPr>
        <w:t xml:space="preserve"> </w:t>
      </w:r>
      <w:r w:rsidR="008F417D" w:rsidRPr="004A7D39">
        <w:rPr>
          <w:rFonts w:cstheme="minorHAnsi" w:hint="eastAsia"/>
          <w:color w:val="0000FF"/>
        </w:rPr>
        <w:t>Again a list should be provided to the organizer</w:t>
      </w:r>
      <w:r w:rsidR="008F417D" w:rsidRPr="004A7D39">
        <w:rPr>
          <w:rFonts w:cstheme="minorHAnsi" w:hint="eastAsia"/>
        </w:rPr>
        <w:t xml:space="preserve">. </w:t>
      </w:r>
      <w:r w:rsidR="004A7D39">
        <w:rPr>
          <w:rFonts w:cstheme="minorHAnsi" w:hint="eastAsia"/>
        </w:rPr>
        <w:t xml:space="preserve"> </w:t>
      </w:r>
      <w:r w:rsidRPr="004A7D39">
        <w:rPr>
          <w:rFonts w:cstheme="minorHAnsi"/>
        </w:rPr>
        <w:t xml:space="preserve">Full-paper template is attached as </w:t>
      </w:r>
      <w:r w:rsidRPr="004A7D39">
        <w:rPr>
          <w:rFonts w:cstheme="minorHAnsi"/>
          <w:color w:val="0000FF"/>
        </w:rPr>
        <w:t>16ARCpaper.doc</w:t>
      </w:r>
      <w:r w:rsidRPr="004A7D39">
        <w:rPr>
          <w:rFonts w:cstheme="minorHAnsi"/>
        </w:rPr>
        <w:t>.</w:t>
      </w:r>
    </w:p>
    <w:p w:rsidR="0012336B" w:rsidRPr="00FF484D" w:rsidRDefault="0012336B" w:rsidP="00073E00">
      <w:pPr>
        <w:spacing w:beforeLines="50" w:before="180"/>
        <w:ind w:leftChars="-530" w:left="-1272" w:rightChars="77" w:right="185"/>
        <w:jc w:val="both"/>
        <w:rPr>
          <w:rFonts w:cstheme="minorHAnsi"/>
          <w:color w:val="00467A"/>
          <w:sz w:val="28"/>
          <w:szCs w:val="28"/>
        </w:rPr>
      </w:pPr>
      <w:r w:rsidRPr="00FF484D">
        <w:rPr>
          <w:rFonts w:cstheme="minorHAnsi"/>
          <w:b/>
          <w:bCs/>
          <w:color w:val="00467A"/>
          <w:sz w:val="28"/>
          <w:szCs w:val="28"/>
        </w:rPr>
        <w:t>Reviews and Revisions – 2018.10.01~2019.01.20</w:t>
      </w:r>
    </w:p>
    <w:p w:rsidR="00FF484D" w:rsidRPr="004A7D39" w:rsidRDefault="0012336B" w:rsidP="004A7D39">
      <w:pPr>
        <w:ind w:left="-1276" w:rightChars="77" w:right="185"/>
        <w:jc w:val="both"/>
        <w:rPr>
          <w:rFonts w:cstheme="minorHAnsi"/>
        </w:rPr>
      </w:pPr>
      <w:r w:rsidRPr="004A7D39">
        <w:rPr>
          <w:rFonts w:cstheme="minorHAnsi"/>
          <w:color w:val="0000FF"/>
        </w:rPr>
        <w:t>For Asian societies, please help to make the reviews/revisions at your society. The accepted papers are to be submitted through society office with a confirmed list.</w:t>
      </w:r>
    </w:p>
    <w:p w:rsidR="0012336B" w:rsidRPr="00FF484D" w:rsidRDefault="0012336B" w:rsidP="00073E00">
      <w:pPr>
        <w:spacing w:beforeLines="50" w:before="180"/>
        <w:ind w:leftChars="-530" w:left="-1272" w:rightChars="77" w:right="185"/>
        <w:jc w:val="both"/>
        <w:rPr>
          <w:rFonts w:cstheme="minorHAnsi"/>
          <w:color w:val="C00000"/>
          <w:sz w:val="28"/>
          <w:szCs w:val="28"/>
        </w:rPr>
      </w:pPr>
      <w:r w:rsidRPr="00FF484D">
        <w:rPr>
          <w:rFonts w:cstheme="minorHAnsi"/>
          <w:b/>
          <w:bCs/>
          <w:color w:val="C00000"/>
          <w:sz w:val="28"/>
          <w:szCs w:val="28"/>
        </w:rPr>
        <w:t>Final paper received – 2019.01.31</w:t>
      </w:r>
    </w:p>
    <w:p w:rsidR="0012336B" w:rsidRPr="00402AA3" w:rsidRDefault="0012336B" w:rsidP="00073E00">
      <w:pPr>
        <w:ind w:leftChars="-530" w:left="-1272" w:rightChars="77" w:right="185"/>
        <w:jc w:val="both"/>
        <w:rPr>
          <w:rFonts w:cstheme="minorHAnsi"/>
        </w:rPr>
      </w:pPr>
      <w:r w:rsidRPr="00402AA3">
        <w:rPr>
          <w:rFonts w:cstheme="minorHAnsi"/>
        </w:rPr>
        <w:t>All the final papers should be received by 16ARC organizer upon the due date.</w:t>
      </w:r>
    </w:p>
    <w:p w:rsidR="0012336B" w:rsidRPr="00402AA3" w:rsidRDefault="0012336B" w:rsidP="00073E00">
      <w:pPr>
        <w:spacing w:beforeLines="50" w:before="180"/>
        <w:ind w:leftChars="-530" w:left="-1272" w:rightChars="77" w:right="185"/>
        <w:jc w:val="both"/>
        <w:rPr>
          <w:rFonts w:cstheme="minorHAnsi"/>
          <w:sz w:val="28"/>
          <w:szCs w:val="28"/>
        </w:rPr>
      </w:pPr>
      <w:r w:rsidRPr="00FF484D">
        <w:rPr>
          <w:rFonts w:cstheme="minorHAnsi"/>
          <w:b/>
          <w:bCs/>
          <w:color w:val="00467A"/>
          <w:sz w:val="28"/>
          <w:szCs w:val="28"/>
        </w:rPr>
        <w:t xml:space="preserve">Notice of oral/poster presentation after overview – </w:t>
      </w:r>
      <w:r w:rsidRPr="00FF484D">
        <w:rPr>
          <w:rFonts w:cstheme="minorHAnsi"/>
          <w:b/>
          <w:bCs/>
          <w:color w:val="C00000"/>
          <w:sz w:val="28"/>
          <w:szCs w:val="28"/>
        </w:rPr>
        <w:t>2019.04.30</w:t>
      </w:r>
    </w:p>
    <w:p w:rsidR="0012336B" w:rsidRPr="00402AA3" w:rsidRDefault="0012336B" w:rsidP="00073E00">
      <w:pPr>
        <w:ind w:leftChars="-530" w:left="-1272" w:rightChars="77" w:right="185"/>
        <w:jc w:val="both"/>
        <w:rPr>
          <w:rFonts w:cstheme="minorHAnsi"/>
        </w:rPr>
      </w:pPr>
      <w:proofErr w:type="gramStart"/>
      <w:r w:rsidRPr="00402AA3">
        <w:rPr>
          <w:rFonts w:cstheme="minorHAnsi"/>
        </w:rPr>
        <w:t>By 16ARC organizer.</w:t>
      </w:r>
      <w:proofErr w:type="gramEnd"/>
    </w:p>
    <w:p w:rsidR="004A7D39" w:rsidRDefault="004A7D39" w:rsidP="009557C8">
      <w:pPr>
        <w:snapToGrid w:val="0"/>
        <w:ind w:leftChars="-530" w:left="-1272" w:rightChars="77" w:right="185"/>
        <w:jc w:val="both"/>
        <w:rPr>
          <w:rFonts w:cstheme="minorHAnsi"/>
          <w:sz w:val="20"/>
          <w:szCs w:val="20"/>
        </w:rPr>
      </w:pPr>
    </w:p>
    <w:p w:rsidR="004A7D39" w:rsidRPr="00402AA3" w:rsidRDefault="008E01C4" w:rsidP="004A7D39">
      <w:pPr>
        <w:snapToGrid w:val="0"/>
        <w:ind w:leftChars="-530" w:left="-1272" w:rightChars="77" w:right="185"/>
        <w:jc w:val="both"/>
        <w:rPr>
          <w:rFonts w:cstheme="minorHAnsi"/>
        </w:rPr>
      </w:pPr>
      <w:r w:rsidRPr="00402AA3">
        <w:rPr>
          <w:rFonts w:cstheme="minorHAnsi"/>
        </w:rPr>
        <w:t>Truly yours,</w:t>
      </w:r>
    </w:p>
    <w:tbl>
      <w:tblPr>
        <w:tblStyle w:val="a9"/>
        <w:tblW w:w="0" w:type="auto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4678"/>
      </w:tblGrid>
      <w:tr w:rsidR="001339AA" w:rsidTr="00473239">
        <w:trPr>
          <w:trHeight w:val="684"/>
        </w:trPr>
        <w:tc>
          <w:tcPr>
            <w:tcW w:w="3934" w:type="dxa"/>
          </w:tcPr>
          <w:p w:rsidR="001339AA" w:rsidRPr="00B64701" w:rsidRDefault="001339AA" w:rsidP="00473239">
            <w:pPr>
              <w:snapToGrid w:val="0"/>
              <w:ind w:rightChars="255" w:right="612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6EA7F7" wp14:editId="5B2E752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49530</wp:posOffset>
                  </wp:positionV>
                  <wp:extent cx="1533525" cy="370840"/>
                  <wp:effectExtent l="0" t="0" r="9525" b="0"/>
                  <wp:wrapTight wrapText="bothSides">
                    <wp:wrapPolygon edited="0">
                      <wp:start x="0" y="0"/>
                      <wp:lineTo x="0" y="19973"/>
                      <wp:lineTo x="21466" y="19973"/>
                      <wp:lineTo x="21466" y="0"/>
                      <wp:lineTo x="0" y="0"/>
                    </wp:wrapPolygon>
                  </wp:wrapTight>
                  <wp:docPr id="6" name="圖片 6" descr="C:\Users\123456\AppData\Local\Microsoft\Windows\INetCache\Content.Word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6\AppData\Local\Microsoft\Windows\INetCache\Content.Word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" t="10216" r="3330" b="10160"/>
                          <a:stretch/>
                        </pic:blipFill>
                        <pic:spPr bwMode="auto">
                          <a:xfrm>
                            <a:off x="0" y="0"/>
                            <a:ext cx="15335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1339AA" w:rsidRPr="00B64701" w:rsidRDefault="00073E00" w:rsidP="00473239">
            <w:pPr>
              <w:snapToGrid w:val="0"/>
              <w:ind w:rightChars="255" w:right="612"/>
              <w:jc w:val="both"/>
              <w:rPr>
                <w:b/>
                <w:color w:val="000000" w:themeColor="text1"/>
                <w:szCs w:val="24"/>
              </w:rPr>
            </w:pPr>
            <w:r w:rsidRPr="00073E00">
              <w:rPr>
                <w:b/>
                <w:noProof/>
                <w:color w:val="000000" w:themeColor="text1"/>
                <w:szCs w:val="24"/>
              </w:rPr>
              <w:drawing>
                <wp:inline distT="0" distB="0" distL="0" distR="0" wp14:anchorId="39C301B1" wp14:editId="0924A95D">
                  <wp:extent cx="1628775" cy="403591"/>
                  <wp:effectExtent l="0" t="0" r="0" b="0"/>
                  <wp:docPr id="1027" name="Picture 3" descr="\\Elite-server\2019\ARC 2019\卿英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\\Elite-server\2019\ARC 2019\卿英文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483" b="88362" l="3399" r="96064">
                                        <a14:foregroundMark x1="18962" y1="31897" x2="13238" y2="51724"/>
                                        <a14:foregroundMark x1="12522" y1="54741" x2="9481" y2="65948"/>
                                        <a14:foregroundMark x1="4651" y1="75000" x2="11091" y2="76724"/>
                                        <a14:foregroundMark x1="36494" y1="69397" x2="54383" y2="64655"/>
                                        <a14:foregroundMark x1="45259" y1="53017" x2="87657" y2="49138"/>
                                        <a14:foregroundMark x1="31485" y1="57759" x2="52057" y2="54741"/>
                                        <a14:foregroundMark x1="53131" y1="40517" x2="42218" y2="56466"/>
                                        <a14:foregroundMark x1="45438" y1="34914" x2="91413" y2="50862"/>
                                        <a14:foregroundMark x1="91592" y1="53017" x2="43292" y2="72414"/>
                                        <a14:foregroundMark x1="65474" y1="65517" x2="88909" y2="56466"/>
                                        <a14:foregroundMark x1="74419" y1="61638" x2="74419" y2="61638"/>
                                        <a14:foregroundMark x1="24687" y1="59914" x2="24687" y2="59914"/>
                                        <a14:foregroundMark x1="20751" y1="73276" x2="20751" y2="73276"/>
                                        <a14:foregroundMark x1="22182" y1="73276" x2="22182" y2="73276"/>
                                        <a14:foregroundMark x1="28801" y1="71983" x2="28801" y2="71983"/>
                                        <a14:foregroundMark x1="50984" y1="19397" x2="50984" y2="19397"/>
                                        <a14:foregroundMark x1="50805" y1="17672" x2="50805" y2="17672"/>
                                        <a14:foregroundMark x1="70304" y1="65517" x2="85152" y2="59914"/>
                                        <a14:foregroundMark x1="91413" y1="49569" x2="93202" y2="51724"/>
                                        <a14:foregroundMark x1="91413" y1="53448" x2="94275" y2="50862"/>
                                        <a14:foregroundMark x1="25939" y1="60345" x2="28801" y2="58190"/>
                                      </a14:backgroundRemoval>
                                    </a14:imgEffect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7" t="13279" r="4871" b="15692"/>
                          <a:stretch/>
                        </pic:blipFill>
                        <pic:spPr bwMode="auto">
                          <a:xfrm>
                            <a:off x="0" y="0"/>
                            <a:ext cx="1638816" cy="40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9AA" w:rsidTr="00473239">
        <w:tc>
          <w:tcPr>
            <w:tcW w:w="3934" w:type="dxa"/>
          </w:tcPr>
          <w:p w:rsidR="001339AA" w:rsidRPr="00B64701" w:rsidRDefault="001339AA" w:rsidP="00473239">
            <w:pPr>
              <w:snapToGrid w:val="0"/>
              <w:ind w:rightChars="255" w:right="61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64701">
              <w:rPr>
                <w:b/>
                <w:color w:val="000000" w:themeColor="text1"/>
                <w:sz w:val="24"/>
                <w:szCs w:val="24"/>
              </w:rPr>
              <w:t>Prof. Der-Wen Chang</w:t>
            </w:r>
          </w:p>
          <w:p w:rsidR="001339AA" w:rsidRPr="00B21598" w:rsidRDefault="001339AA" w:rsidP="00473239">
            <w:pPr>
              <w:snapToGrid w:val="0"/>
              <w:ind w:rightChars="255" w:right="612"/>
              <w:jc w:val="both"/>
              <w:rPr>
                <w:color w:val="000000" w:themeColor="text1"/>
                <w:szCs w:val="24"/>
              </w:rPr>
            </w:pPr>
            <w:r w:rsidRPr="00B21598">
              <w:rPr>
                <w:color w:val="000000" w:themeColor="text1"/>
                <w:szCs w:val="24"/>
              </w:rPr>
              <w:t>Chairman, Conference Committee</w:t>
            </w:r>
          </w:p>
        </w:tc>
        <w:tc>
          <w:tcPr>
            <w:tcW w:w="4678" w:type="dxa"/>
          </w:tcPr>
          <w:p w:rsidR="001339AA" w:rsidRDefault="001339AA" w:rsidP="00473239">
            <w:pPr>
              <w:snapToGrid w:val="0"/>
              <w:ind w:rightChars="255" w:right="61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339AA">
              <w:rPr>
                <w:b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1339AA">
              <w:rPr>
                <w:b/>
                <w:color w:val="000000" w:themeColor="text1"/>
                <w:sz w:val="24"/>
                <w:szCs w:val="24"/>
              </w:rPr>
              <w:t>Jianye</w:t>
            </w:r>
            <w:proofErr w:type="spellEnd"/>
            <w:r w:rsidRPr="001339AA">
              <w:rPr>
                <w:b/>
                <w:color w:val="000000" w:themeColor="text1"/>
                <w:sz w:val="24"/>
                <w:szCs w:val="24"/>
              </w:rPr>
              <w:t xml:space="preserve"> Ching </w:t>
            </w:r>
          </w:p>
          <w:p w:rsidR="001339AA" w:rsidRPr="00B21598" w:rsidRDefault="001339AA" w:rsidP="00473239">
            <w:pPr>
              <w:snapToGrid w:val="0"/>
              <w:ind w:rightChars="255" w:right="612"/>
              <w:jc w:val="both"/>
              <w:rPr>
                <w:color w:val="000000" w:themeColor="text1"/>
                <w:szCs w:val="24"/>
              </w:rPr>
            </w:pPr>
            <w:r w:rsidRPr="001339AA">
              <w:rPr>
                <w:color w:val="000000" w:themeColor="text1"/>
                <w:szCs w:val="24"/>
              </w:rPr>
              <w:t>Chairman, Scientific Committee</w:t>
            </w:r>
          </w:p>
        </w:tc>
      </w:tr>
      <w:tr w:rsidR="001339AA" w:rsidTr="00473239">
        <w:trPr>
          <w:trHeight w:val="179"/>
        </w:trPr>
        <w:tc>
          <w:tcPr>
            <w:tcW w:w="3934" w:type="dxa"/>
          </w:tcPr>
          <w:p w:rsidR="001339AA" w:rsidRDefault="001339AA" w:rsidP="00473239">
            <w:pPr>
              <w:snapToGrid w:val="0"/>
              <w:ind w:rightChars="255" w:right="612"/>
              <w:jc w:val="both"/>
              <w:rPr>
                <w:noProof/>
              </w:rPr>
            </w:pPr>
          </w:p>
        </w:tc>
        <w:tc>
          <w:tcPr>
            <w:tcW w:w="4678" w:type="dxa"/>
          </w:tcPr>
          <w:p w:rsidR="001339AA" w:rsidRPr="00A33BB4" w:rsidRDefault="001339AA" w:rsidP="00473239">
            <w:pPr>
              <w:snapToGrid w:val="0"/>
              <w:ind w:rightChars="255" w:right="612"/>
              <w:jc w:val="both"/>
              <w:rPr>
                <w:b/>
                <w:color w:val="000000" w:themeColor="text1"/>
                <w:szCs w:val="24"/>
              </w:rPr>
            </w:pPr>
          </w:p>
        </w:tc>
      </w:tr>
      <w:tr w:rsidR="001339AA" w:rsidTr="00473239">
        <w:trPr>
          <w:trHeight w:val="604"/>
        </w:trPr>
        <w:tc>
          <w:tcPr>
            <w:tcW w:w="3934" w:type="dxa"/>
          </w:tcPr>
          <w:p w:rsidR="001339AA" w:rsidRDefault="001339AA" w:rsidP="00473239">
            <w:pPr>
              <w:snapToGrid w:val="0"/>
              <w:ind w:rightChars="255" w:right="612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2723C3" wp14:editId="7593B1B3">
                  <wp:extent cx="1524000" cy="398218"/>
                  <wp:effectExtent l="0" t="0" r="0" b="1905"/>
                  <wp:docPr id="7" name="圖片 7" descr="http://www.16arc.org/images/sig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16arc.org/images/sig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98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339AA" w:rsidRDefault="001339AA" w:rsidP="00473239">
            <w:pPr>
              <w:snapToGrid w:val="0"/>
              <w:ind w:rightChars="255" w:right="612"/>
              <w:jc w:val="both"/>
              <w:rPr>
                <w:b/>
                <w:color w:val="000000" w:themeColor="text1"/>
                <w:szCs w:val="24"/>
              </w:rPr>
            </w:pPr>
            <w:r w:rsidRPr="00A66F11">
              <w:rPr>
                <w:b/>
                <w:noProof/>
                <w:color w:val="000000" w:themeColor="text1"/>
                <w:szCs w:val="24"/>
              </w:rPr>
              <w:drawing>
                <wp:inline distT="0" distB="0" distL="0" distR="0" wp14:anchorId="3E151344" wp14:editId="4990FF7B">
                  <wp:extent cx="1619250" cy="373558"/>
                  <wp:effectExtent l="0" t="0" r="0" b="7620"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7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9AA" w:rsidTr="00473239">
        <w:tc>
          <w:tcPr>
            <w:tcW w:w="3934" w:type="dxa"/>
          </w:tcPr>
          <w:p w:rsidR="001339AA" w:rsidRPr="00B64701" w:rsidRDefault="001339AA" w:rsidP="00473239">
            <w:pPr>
              <w:snapToGrid w:val="0"/>
              <w:ind w:rightChars="255" w:right="61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64701">
              <w:rPr>
                <w:b/>
                <w:color w:val="000000" w:themeColor="text1"/>
                <w:sz w:val="24"/>
                <w:szCs w:val="24"/>
              </w:rPr>
              <w:t xml:space="preserve">Prof. Chang-Yu </w:t>
            </w:r>
            <w:proofErr w:type="spellStart"/>
            <w:r w:rsidRPr="00B64701">
              <w:rPr>
                <w:b/>
                <w:color w:val="000000" w:themeColor="text1"/>
                <w:sz w:val="24"/>
                <w:szCs w:val="24"/>
              </w:rPr>
              <w:t>Ou</w:t>
            </w:r>
            <w:proofErr w:type="spellEnd"/>
          </w:p>
          <w:p w:rsidR="001339AA" w:rsidRPr="00B21598" w:rsidRDefault="001339AA" w:rsidP="00473239">
            <w:pPr>
              <w:snapToGrid w:val="0"/>
              <w:ind w:rightChars="255" w:right="612"/>
              <w:jc w:val="both"/>
              <w:rPr>
                <w:color w:val="000000" w:themeColor="text1"/>
                <w:szCs w:val="24"/>
              </w:rPr>
            </w:pPr>
            <w:r w:rsidRPr="00B21598">
              <w:rPr>
                <w:color w:val="000000" w:themeColor="text1"/>
                <w:szCs w:val="24"/>
              </w:rPr>
              <w:t>Chairman, Organization Committee</w:t>
            </w:r>
          </w:p>
        </w:tc>
        <w:tc>
          <w:tcPr>
            <w:tcW w:w="4678" w:type="dxa"/>
          </w:tcPr>
          <w:p w:rsidR="001339AA" w:rsidRPr="00B64701" w:rsidRDefault="001339AA" w:rsidP="00473239">
            <w:pPr>
              <w:snapToGrid w:val="0"/>
              <w:ind w:rightChars="255" w:right="61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64701">
              <w:rPr>
                <w:b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B64701">
              <w:rPr>
                <w:b/>
                <w:color w:val="000000" w:themeColor="text1"/>
                <w:sz w:val="24"/>
                <w:szCs w:val="24"/>
              </w:rPr>
              <w:t>Keh</w:t>
            </w:r>
            <w:proofErr w:type="spellEnd"/>
            <w:r w:rsidRPr="00B64701">
              <w:rPr>
                <w:b/>
                <w:color w:val="000000" w:themeColor="text1"/>
                <w:sz w:val="24"/>
                <w:szCs w:val="24"/>
              </w:rPr>
              <w:t xml:space="preserve">-Jian </w:t>
            </w:r>
            <w:proofErr w:type="spellStart"/>
            <w:r w:rsidRPr="00B64701">
              <w:rPr>
                <w:b/>
                <w:color w:val="000000" w:themeColor="text1"/>
                <w:sz w:val="24"/>
                <w:szCs w:val="24"/>
              </w:rPr>
              <w:t>Shou</w:t>
            </w:r>
            <w:proofErr w:type="spellEnd"/>
          </w:p>
          <w:p w:rsidR="001339AA" w:rsidRPr="00B21598" w:rsidRDefault="001339AA" w:rsidP="00473239">
            <w:pPr>
              <w:snapToGrid w:val="0"/>
              <w:ind w:rightChars="255" w:right="612"/>
              <w:jc w:val="both"/>
              <w:rPr>
                <w:color w:val="000000" w:themeColor="text1"/>
                <w:szCs w:val="24"/>
              </w:rPr>
            </w:pPr>
            <w:r w:rsidRPr="00B21598">
              <w:rPr>
                <w:rFonts w:hint="eastAsia"/>
                <w:color w:val="000000" w:themeColor="text1"/>
                <w:szCs w:val="24"/>
              </w:rPr>
              <w:t>Pr</w:t>
            </w:r>
            <w:r w:rsidRPr="00B21598">
              <w:rPr>
                <w:color w:val="000000" w:themeColor="text1"/>
                <w:szCs w:val="24"/>
              </w:rPr>
              <w:t>esident, Chinese Taipei Geotechnical Society</w:t>
            </w:r>
          </w:p>
        </w:tc>
      </w:tr>
    </w:tbl>
    <w:p w:rsidR="001339AA" w:rsidRPr="001339AA" w:rsidRDefault="001339AA" w:rsidP="004A7D39">
      <w:pPr>
        <w:snapToGrid w:val="0"/>
        <w:ind w:rightChars="77" w:right="185"/>
        <w:jc w:val="both"/>
        <w:rPr>
          <w:rFonts w:cstheme="minorHAnsi"/>
          <w:color w:val="000000" w:themeColor="text1"/>
          <w:szCs w:val="24"/>
        </w:rPr>
      </w:pPr>
    </w:p>
    <w:sectPr w:rsidR="001339AA" w:rsidRPr="001339AA" w:rsidSect="00402AA3">
      <w:headerReference w:type="default" r:id="rId14"/>
      <w:pgSz w:w="11906" w:h="16838"/>
      <w:pgMar w:top="2127" w:right="566" w:bottom="241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7B" w:rsidRDefault="008C117B" w:rsidP="005B0F81">
      <w:r>
        <w:separator/>
      </w:r>
    </w:p>
  </w:endnote>
  <w:endnote w:type="continuationSeparator" w:id="0">
    <w:p w:rsidR="008C117B" w:rsidRDefault="008C117B" w:rsidP="005B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7B" w:rsidRDefault="008C117B" w:rsidP="005B0F81">
      <w:r>
        <w:separator/>
      </w:r>
    </w:p>
  </w:footnote>
  <w:footnote w:type="continuationSeparator" w:id="0">
    <w:p w:rsidR="008C117B" w:rsidRDefault="008C117B" w:rsidP="005B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81" w:rsidRDefault="005B0F81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46C49" wp14:editId="500B1EA2">
          <wp:simplePos x="0" y="0"/>
          <wp:positionH relativeFrom="column">
            <wp:posOffset>-1150620</wp:posOffset>
          </wp:positionH>
          <wp:positionV relativeFrom="paragraph">
            <wp:posOffset>-549911</wp:posOffset>
          </wp:positionV>
          <wp:extent cx="7576318" cy="10715625"/>
          <wp:effectExtent l="0" t="0" r="5715" b="0"/>
          <wp:wrapNone/>
          <wp:docPr id="5" name="圖片 5" descr="\\Elite-server\2019\ARC 2019\設計\重\A4信籤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lite-server\2019\ARC 2019\設計\重\A4信籤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141" cy="10718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9C9"/>
    <w:multiLevelType w:val="hybridMultilevel"/>
    <w:tmpl w:val="001ED6C6"/>
    <w:lvl w:ilvl="0" w:tplc="0409000B">
      <w:start w:val="1"/>
      <w:numFmt w:val="bullet"/>
      <w:lvlText w:val=""/>
      <w:lvlJc w:val="left"/>
      <w:pPr>
        <w:ind w:left="-79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2" w:hanging="480"/>
      </w:pPr>
    </w:lvl>
    <w:lvl w:ilvl="2" w:tplc="0409001B" w:tentative="1">
      <w:start w:val="1"/>
      <w:numFmt w:val="lowerRoman"/>
      <w:lvlText w:val="%3."/>
      <w:lvlJc w:val="right"/>
      <w:pPr>
        <w:ind w:left="168" w:hanging="480"/>
      </w:pPr>
    </w:lvl>
    <w:lvl w:ilvl="3" w:tplc="0409000F" w:tentative="1">
      <w:start w:val="1"/>
      <w:numFmt w:val="decimal"/>
      <w:lvlText w:val="%4."/>
      <w:lvlJc w:val="left"/>
      <w:pPr>
        <w:ind w:left="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8" w:hanging="480"/>
      </w:pPr>
    </w:lvl>
    <w:lvl w:ilvl="5" w:tplc="0409001B" w:tentative="1">
      <w:start w:val="1"/>
      <w:numFmt w:val="lowerRoman"/>
      <w:lvlText w:val="%6."/>
      <w:lvlJc w:val="right"/>
      <w:pPr>
        <w:ind w:left="1608" w:hanging="480"/>
      </w:pPr>
    </w:lvl>
    <w:lvl w:ilvl="6" w:tplc="0409000F" w:tentative="1">
      <w:start w:val="1"/>
      <w:numFmt w:val="decimal"/>
      <w:lvlText w:val="%7."/>
      <w:lvlJc w:val="left"/>
      <w:pPr>
        <w:ind w:left="2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8" w:hanging="480"/>
      </w:pPr>
    </w:lvl>
    <w:lvl w:ilvl="8" w:tplc="0409001B" w:tentative="1">
      <w:start w:val="1"/>
      <w:numFmt w:val="lowerRoman"/>
      <w:lvlText w:val="%9."/>
      <w:lvlJc w:val="right"/>
      <w:pPr>
        <w:ind w:left="3048" w:hanging="480"/>
      </w:pPr>
    </w:lvl>
  </w:abstractNum>
  <w:abstractNum w:abstractNumId="1">
    <w:nsid w:val="10721DB1"/>
    <w:multiLevelType w:val="hybridMultilevel"/>
    <w:tmpl w:val="D8B405CE"/>
    <w:lvl w:ilvl="0" w:tplc="16BCB0F0">
      <w:start w:val="1"/>
      <w:numFmt w:val="decimal"/>
      <w:lvlText w:val="%1."/>
      <w:lvlJc w:val="left"/>
      <w:pPr>
        <w:ind w:left="-91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312" w:hanging="480"/>
      </w:pPr>
    </w:lvl>
    <w:lvl w:ilvl="2" w:tplc="0409001B" w:tentative="1">
      <w:start w:val="1"/>
      <w:numFmt w:val="lowerRoman"/>
      <w:lvlText w:val="%3."/>
      <w:lvlJc w:val="right"/>
      <w:pPr>
        <w:ind w:left="168" w:hanging="480"/>
      </w:pPr>
    </w:lvl>
    <w:lvl w:ilvl="3" w:tplc="0409000F" w:tentative="1">
      <w:start w:val="1"/>
      <w:numFmt w:val="decimal"/>
      <w:lvlText w:val="%4."/>
      <w:lvlJc w:val="left"/>
      <w:pPr>
        <w:ind w:left="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8" w:hanging="480"/>
      </w:pPr>
    </w:lvl>
    <w:lvl w:ilvl="5" w:tplc="0409001B" w:tentative="1">
      <w:start w:val="1"/>
      <w:numFmt w:val="lowerRoman"/>
      <w:lvlText w:val="%6."/>
      <w:lvlJc w:val="right"/>
      <w:pPr>
        <w:ind w:left="1608" w:hanging="480"/>
      </w:pPr>
    </w:lvl>
    <w:lvl w:ilvl="6" w:tplc="0409000F" w:tentative="1">
      <w:start w:val="1"/>
      <w:numFmt w:val="decimal"/>
      <w:lvlText w:val="%7."/>
      <w:lvlJc w:val="left"/>
      <w:pPr>
        <w:ind w:left="2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8" w:hanging="480"/>
      </w:pPr>
    </w:lvl>
    <w:lvl w:ilvl="8" w:tplc="0409001B" w:tentative="1">
      <w:start w:val="1"/>
      <w:numFmt w:val="lowerRoman"/>
      <w:lvlText w:val="%9."/>
      <w:lvlJc w:val="right"/>
      <w:pPr>
        <w:ind w:left="3048" w:hanging="480"/>
      </w:pPr>
    </w:lvl>
  </w:abstractNum>
  <w:abstractNum w:abstractNumId="2">
    <w:nsid w:val="278258E5"/>
    <w:multiLevelType w:val="hybridMultilevel"/>
    <w:tmpl w:val="1C2872E2"/>
    <w:lvl w:ilvl="0" w:tplc="0409000F">
      <w:start w:val="1"/>
      <w:numFmt w:val="decimal"/>
      <w:lvlText w:val="%1."/>
      <w:lvlJc w:val="left"/>
      <w:pPr>
        <w:ind w:left="-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2" w:hanging="480"/>
      </w:pPr>
    </w:lvl>
    <w:lvl w:ilvl="2" w:tplc="0409001B" w:tentative="1">
      <w:start w:val="1"/>
      <w:numFmt w:val="lowerRoman"/>
      <w:lvlText w:val="%3."/>
      <w:lvlJc w:val="right"/>
      <w:pPr>
        <w:ind w:left="168" w:hanging="480"/>
      </w:pPr>
    </w:lvl>
    <w:lvl w:ilvl="3" w:tplc="0409000F" w:tentative="1">
      <w:start w:val="1"/>
      <w:numFmt w:val="decimal"/>
      <w:lvlText w:val="%4."/>
      <w:lvlJc w:val="left"/>
      <w:pPr>
        <w:ind w:left="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8" w:hanging="480"/>
      </w:pPr>
    </w:lvl>
    <w:lvl w:ilvl="5" w:tplc="0409001B" w:tentative="1">
      <w:start w:val="1"/>
      <w:numFmt w:val="lowerRoman"/>
      <w:lvlText w:val="%6."/>
      <w:lvlJc w:val="right"/>
      <w:pPr>
        <w:ind w:left="1608" w:hanging="480"/>
      </w:pPr>
    </w:lvl>
    <w:lvl w:ilvl="6" w:tplc="0409000F" w:tentative="1">
      <w:start w:val="1"/>
      <w:numFmt w:val="decimal"/>
      <w:lvlText w:val="%7."/>
      <w:lvlJc w:val="left"/>
      <w:pPr>
        <w:ind w:left="2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8" w:hanging="480"/>
      </w:pPr>
    </w:lvl>
    <w:lvl w:ilvl="8" w:tplc="0409001B" w:tentative="1">
      <w:start w:val="1"/>
      <w:numFmt w:val="lowerRoman"/>
      <w:lvlText w:val="%9."/>
      <w:lvlJc w:val="right"/>
      <w:pPr>
        <w:ind w:left="3048" w:hanging="480"/>
      </w:pPr>
    </w:lvl>
  </w:abstractNum>
  <w:abstractNum w:abstractNumId="3">
    <w:nsid w:val="37F16035"/>
    <w:multiLevelType w:val="hybridMultilevel"/>
    <w:tmpl w:val="48E011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4275AF8"/>
    <w:multiLevelType w:val="hybridMultilevel"/>
    <w:tmpl w:val="3CC603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B2048B"/>
    <w:multiLevelType w:val="hybridMultilevel"/>
    <w:tmpl w:val="052847A0"/>
    <w:lvl w:ilvl="0" w:tplc="0409000B">
      <w:start w:val="1"/>
      <w:numFmt w:val="bullet"/>
      <w:lvlText w:val=""/>
      <w:lvlJc w:val="left"/>
      <w:pPr>
        <w:ind w:left="-79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2" w:hanging="480"/>
      </w:pPr>
    </w:lvl>
    <w:lvl w:ilvl="2" w:tplc="0409001B" w:tentative="1">
      <w:start w:val="1"/>
      <w:numFmt w:val="lowerRoman"/>
      <w:lvlText w:val="%3."/>
      <w:lvlJc w:val="right"/>
      <w:pPr>
        <w:ind w:left="168" w:hanging="480"/>
      </w:pPr>
    </w:lvl>
    <w:lvl w:ilvl="3" w:tplc="0409000F" w:tentative="1">
      <w:start w:val="1"/>
      <w:numFmt w:val="decimal"/>
      <w:lvlText w:val="%4."/>
      <w:lvlJc w:val="left"/>
      <w:pPr>
        <w:ind w:left="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8" w:hanging="480"/>
      </w:pPr>
    </w:lvl>
    <w:lvl w:ilvl="5" w:tplc="0409001B" w:tentative="1">
      <w:start w:val="1"/>
      <w:numFmt w:val="lowerRoman"/>
      <w:lvlText w:val="%6."/>
      <w:lvlJc w:val="right"/>
      <w:pPr>
        <w:ind w:left="1608" w:hanging="480"/>
      </w:pPr>
    </w:lvl>
    <w:lvl w:ilvl="6" w:tplc="0409000F" w:tentative="1">
      <w:start w:val="1"/>
      <w:numFmt w:val="decimal"/>
      <w:lvlText w:val="%7."/>
      <w:lvlJc w:val="left"/>
      <w:pPr>
        <w:ind w:left="2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8" w:hanging="480"/>
      </w:pPr>
    </w:lvl>
    <w:lvl w:ilvl="8" w:tplc="0409001B" w:tentative="1">
      <w:start w:val="1"/>
      <w:numFmt w:val="lowerRoman"/>
      <w:lvlText w:val="%9."/>
      <w:lvlJc w:val="right"/>
      <w:pPr>
        <w:ind w:left="3048" w:hanging="480"/>
      </w:pPr>
    </w:lvl>
  </w:abstractNum>
  <w:abstractNum w:abstractNumId="6">
    <w:nsid w:val="6DC202E3"/>
    <w:multiLevelType w:val="hybridMultilevel"/>
    <w:tmpl w:val="DF4A95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81"/>
    <w:rsid w:val="00000201"/>
    <w:rsid w:val="0002317A"/>
    <w:rsid w:val="00073E00"/>
    <w:rsid w:val="0012336B"/>
    <w:rsid w:val="001339AA"/>
    <w:rsid w:val="00134236"/>
    <w:rsid w:val="00231050"/>
    <w:rsid w:val="00260330"/>
    <w:rsid w:val="00314F68"/>
    <w:rsid w:val="00384CA1"/>
    <w:rsid w:val="0039635B"/>
    <w:rsid w:val="00402AA3"/>
    <w:rsid w:val="0041515F"/>
    <w:rsid w:val="004453DA"/>
    <w:rsid w:val="00456B24"/>
    <w:rsid w:val="00462AE3"/>
    <w:rsid w:val="004812F4"/>
    <w:rsid w:val="004A7D39"/>
    <w:rsid w:val="004D7E82"/>
    <w:rsid w:val="004F1C08"/>
    <w:rsid w:val="00501C7F"/>
    <w:rsid w:val="005218EB"/>
    <w:rsid w:val="005262EE"/>
    <w:rsid w:val="005937BA"/>
    <w:rsid w:val="005B0F81"/>
    <w:rsid w:val="005C3148"/>
    <w:rsid w:val="005D5CE7"/>
    <w:rsid w:val="00641C85"/>
    <w:rsid w:val="0065158E"/>
    <w:rsid w:val="006748B5"/>
    <w:rsid w:val="006F64FF"/>
    <w:rsid w:val="007013D4"/>
    <w:rsid w:val="00767E12"/>
    <w:rsid w:val="00795044"/>
    <w:rsid w:val="007F5743"/>
    <w:rsid w:val="008020EE"/>
    <w:rsid w:val="00802B53"/>
    <w:rsid w:val="00825CD2"/>
    <w:rsid w:val="008B0E1E"/>
    <w:rsid w:val="008C117B"/>
    <w:rsid w:val="008D065B"/>
    <w:rsid w:val="008E01C4"/>
    <w:rsid w:val="008F417D"/>
    <w:rsid w:val="009528EA"/>
    <w:rsid w:val="009557C8"/>
    <w:rsid w:val="00961145"/>
    <w:rsid w:val="009F5703"/>
    <w:rsid w:val="00A31586"/>
    <w:rsid w:val="00A94F02"/>
    <w:rsid w:val="00AE4EB3"/>
    <w:rsid w:val="00B63EE7"/>
    <w:rsid w:val="00B6670B"/>
    <w:rsid w:val="00BC0BC5"/>
    <w:rsid w:val="00BC2D1E"/>
    <w:rsid w:val="00BE60D5"/>
    <w:rsid w:val="00BF5991"/>
    <w:rsid w:val="00C76FA2"/>
    <w:rsid w:val="00D725EE"/>
    <w:rsid w:val="00D73031"/>
    <w:rsid w:val="00D87A5B"/>
    <w:rsid w:val="00DA4AB4"/>
    <w:rsid w:val="00DE013B"/>
    <w:rsid w:val="00DE03D3"/>
    <w:rsid w:val="00E11F02"/>
    <w:rsid w:val="00F850CA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0F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F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F81"/>
    <w:rPr>
      <w:sz w:val="20"/>
      <w:szCs w:val="20"/>
    </w:rPr>
  </w:style>
  <w:style w:type="table" w:styleId="a9">
    <w:name w:val="Table Grid"/>
    <w:basedOn w:val="a1"/>
    <w:uiPriority w:val="99"/>
    <w:rsid w:val="008E01C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2336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02A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0F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F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F81"/>
    <w:rPr>
      <w:sz w:val="20"/>
      <w:szCs w:val="20"/>
    </w:rPr>
  </w:style>
  <w:style w:type="table" w:styleId="a9">
    <w:name w:val="Table Grid"/>
    <w:basedOn w:val="a1"/>
    <w:uiPriority w:val="99"/>
    <w:rsid w:val="008E01C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2336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02A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6arc.org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3321</Characters>
  <Application>Microsoft Office Word</Application>
  <DocSecurity>0</DocSecurity>
  <Lines>27</Lines>
  <Paragraphs>7</Paragraphs>
  <ScaleCrop>false</ScaleCrop>
  <Company>TKUCE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Jen</dc:creator>
  <cp:lastModifiedBy>user</cp:lastModifiedBy>
  <cp:revision>5</cp:revision>
  <cp:lastPrinted>2017-06-29T02:52:00Z</cp:lastPrinted>
  <dcterms:created xsi:type="dcterms:W3CDTF">2017-07-26T04:05:00Z</dcterms:created>
  <dcterms:modified xsi:type="dcterms:W3CDTF">2017-08-12T07:29:00Z</dcterms:modified>
</cp:coreProperties>
</file>